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Amélioration des indices technologiques par élaboration des nouveaux schémas de traitement du minerai barytique de Ain-Mimoun (Khenchla)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Amirech; Abdelkrim/ Chami,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technologiques/ Ain-Mimoun/ Khenchla/ </w:t>
            </w:r>
          </w:p>
        </w:tc>
      </w:tr>
    </w:tbl>
    <w:p>
      <w:pPr>
        <w:pStyle w:val="Heading3"/>
      </w:pPr>
      <w:r>
        <w:t>Résumé :</w:t>
      </w:r>
    </w:p>
    <w:p>
      <w:r>
        <w:t>Le minerai barytique de ain-mimoun est caractérisé par la composition minéralogique suivante : -baryte (BaSO4) 68 à 69% ; -Quartz ( SiO2 ) 15 % ; -calcite ( CaCO 3) 15 % . -le minerai comprend aussi une quantité négligeable de : hématite, galène, covélline , feldspath et l'azurute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