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valorisation des réserves du minerai de fer pauvre de l'Ouenza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Bouaziz; Leila/ Merabet,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moyenne en fer/ minerai marchand/ minerai brut ./ </w:t>
            </w:r>
          </w:p>
        </w:tc>
      </w:tr>
    </w:tbl>
    <w:p>
      <w:pPr>
        <w:pStyle w:val="Heading3"/>
      </w:pPr>
      <w:r>
        <w:t>Résumé :</w:t>
      </w:r>
    </w:p>
    <w:p>
      <w:r>
        <w:t>La diminution progressive de la teneur moyenne en fer. l'augmentation de la consommation du minerai brut pour une tonne de minerai marchand . l'augmentation de la masse sterile dans le volume total de la masse minière . la part des minerais extraits par l'exploitation à ciel ouvert est nettement supérieure à celle extraite par voie souterraine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