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discontinuites et de l'humidite sur l'emploi de l'anfomil dans les carrieres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Bouterfif; Leila/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discontinuités/ explosifs nitratés/ anfomil/ consommation spécifique d'explosif/ </w:t>
            </w:r>
          </w:p>
        </w:tc>
      </w:tr>
    </w:tbl>
    <w:p>
      <w:pPr>
        <w:pStyle w:val="Heading3"/>
      </w:pPr>
      <w:r>
        <w:t>Résumé :</w:t>
      </w:r>
    </w:p>
    <w:p>
      <w:r>
        <w:t>L'analyse bibliographique et l'expérience pratique des exploitations des mines à ciel ouvert montre l'influence considérable de la structure des massifs rocheux sur les résultats de leur fragmentation à l'explosif .cette dernière prédétermine la blocométrie des massifs provoquée par les différentes familles de fissures qui conditionnent, à leur tour et en fonction de leur nature, leur état et leurs paramètres , la mise en oeuvre de plans de foration et de tir permettant de mieux gérer l'énergie explosive dans le milieu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