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 et dynamiques de l'etalement urbain au dein de l'agglomération intercommunale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Khettabi; Latifa/ Spiga, Sassia/ Universte badji mokhtaer/ </w:t>
            </w:r>
          </w:p>
        </w:tc>
      </w:tr>
      <w:tr>
        <w:trPr>
          <w:trHeight w:val="567"/>
        </w:trPr>
        <w:tc>
          <w:tcPr>
            <w:tcW w:type="dxa" w:w="3000"/>
          </w:tcPr>
          <w:p>
            <w:r>
              <w:t>Nombre de Pages</w:t>
            </w:r>
          </w:p>
        </w:tc>
        <w:tc>
          <w:tcPr>
            <w:tcW w:type="dxa" w:w="7000"/>
          </w:tcPr>
          <w:p>
            <w:r>
              <w:t>403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Morphologie et dynamiques/ Intercommunale de Annaba/ problématique ./ </w:t>
            </w:r>
          </w:p>
        </w:tc>
      </w:tr>
    </w:tbl>
    <w:p>
      <w:pPr>
        <w:pStyle w:val="Heading3"/>
      </w:pPr>
      <w:r>
        <w:t>Résumé :</w:t>
      </w:r>
    </w:p>
    <w:p>
      <w:r>
        <w:t>Répondre à ces questions revient à traiter simultanément de la Morphologie et des dynamiques de l'Etalement Urbain Au Sein de l'Agglomération Intercommunale de Annaba pour explorer" le processus d'étalement urbain" en tant que concept opérant à différentes échelles du contexte local pour tenter aussi de cerner les mécanismes qu'ildinstaure,autant que la compréhension des instances produisant et/ou modifiant la nature de l'espace en périphérie urbaine,afin de pouvoir rendre compte de la pertinence du phénomène d'étalement urbain et dans quelles mesures sa problématique y fait sens,tout en essayant de clarifier les paradoxes et les ambiguïtés descriptives qui se rattachent aux discours variés sur le sujet.l'amorce d'une réflexion sur les modalités et les déterminants spécifiques de cette forme d'urbanisation en action,ses productions spatiales,et ses morphologies constitutives permet à travers l'étude du cas de l'agglomération intercommunale de Annaba,abordée par une approche morphdlogique,d'apporter quelques éléments d'éclaircissement importants à signifier pour distinguer plus nettement,au-delà des termes englobants,ces nouveaux types d'espaces,leurs caractéristiques typiques et leurs dynamiques différenciées afin de circonscrire cette question d'étalement urbain" flottant " tant au niveau de l'action publique,des différentes échelles d'intervention que de la réflexion,et de la recherche dans un débat plutôt cognitif que polémique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