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industrielle et développement local cas de la commune de berrahal dans la wilaya d'annaba-algérie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Mezghiche; Djalila/ Spiga, Sassia/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 .;ill.;tabl.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bibliogr.p.p.143-146.-résume en anglais en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dynamique urbaine/ dynamique industrielle/ développement local/ petite ville/ métropole/ zone industrielle ./ </w:t>
            </w:r>
          </w:p>
        </w:tc>
      </w:tr>
    </w:tbl>
    <w:p>
      <w:pPr>
        <w:pStyle w:val="Heading3"/>
      </w:pPr>
      <w:r>
        <w:t>Résumé :</w:t>
      </w:r>
    </w:p>
    <w:p>
      <w:r>
        <w:t>l'implantation d'une zone industrielle d'envergure à proximité d'une petite ville, dont la vocation est de rayonner sur une commune agropastorale, berrahal, dans la banlieue d'annaba qui est le pôle économique de l'est algérien, présente une situation paradoxale par rapport aux politiques de localisation de l'activité industrielle ou cette catégorie de ville accueille moyennes et petites entreprises.dans cette étude, nous avons voulu relever ce paradoxe observé et comprendre les mécanismes d'implantation et de fonctionnement et rechecher les interactions possibles entre ces activités et le développement communal .les résultats qui sont ressortis, montrent une dynamique industrielle mitigée et fluctuante dans l'axe de temps sur lequel se sont inscrits les 25 ans d'existence de l'activité industrielle à berrahal .la commune ne réussit pas à profîter de ces activités industrielles, à valoriser ses atouts liés à la vocation pastorale, qui ne sont pas exploités par les grandes entreprises constituent un corps étranger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