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Redecouvrir la ville par la lumiere cas d'etude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Guermat; Dalal/ Rouag-Saffidine, Djemila/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bibliogr.f.f.228-232.-Résume en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architecture/ aménagement/ éclairage/ lumière/ ville/ explorer/ la nuit/ perception/ ambiance/ convivialité/ confort ./ </w:t>
            </w:r>
          </w:p>
        </w:tc>
      </w:tr>
    </w:tbl>
    <w:p>
      <w:pPr>
        <w:pStyle w:val="Heading3"/>
      </w:pPr>
      <w:r>
        <w:t>Résumé :</w:t>
      </w:r>
    </w:p>
    <w:p>
      <w:r>
        <w:t>depuis bien longtemps, la plupart des recherches établies traitent presque uniquement des problémes liés à la ville durant la période diurne, en omettant que celle-ci nécessite de plus en plus d'être pensée dans toutes ses dimensions y compris la temporelle . cette dernière exige d'être une partie intégrale dans toute réflexion de prospective et d'aménagement de l'environnement urbain comme présenté les cas d'études qui ont servi de référence à ce travail. plus précisément, il a été noté qu'afin d'explorer l'impact de la lumière urbaine, il est souvent proposé des interventions à deux échelles bien complémentaires inhérentes d'une part aux aspects extérieurs du bâti et d'autre aux espaces publics extérieurs. c'est à partir de là que le support spatial de notr étude s'est orienté vers la notion urbaine désignée par le cours de la révolution, et autre architecturale rappelant à la fois le théâtre et la mairie: deux prestigieux monuments de la ville d'annaba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