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Politiques publiques et aires protegees paysage - patrimoine, outils de gestion du parc national d'el 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Youbi; Ahlem/ Boukhemis, Kaddour/ </w:t>
            </w:r>
          </w:p>
        </w:tc>
      </w:tr>
      <w:tr>
        <w:trPr>
          <w:trHeight w:val="567"/>
        </w:trPr>
        <w:tc>
          <w:tcPr>
            <w:tcW w:type="dxa" w:w="3000"/>
          </w:tcPr>
          <w:p>
            <w:r>
              <w:t>Nombre de Pages</w:t>
            </w:r>
          </w:p>
        </w:tc>
        <w:tc>
          <w:tcPr>
            <w:tcW w:type="dxa" w:w="7000"/>
          </w:tcPr>
          <w:p>
            <w:r>
              <w:t>260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bibliogr.p.p.191-197.-résume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patrimoine/ parc national d'el kala ./ Aire protégée/ parc national/ politiques publiques/ paysage/ </w:t>
            </w:r>
          </w:p>
        </w:tc>
      </w:tr>
    </w:tbl>
    <w:p>
      <w:pPr>
        <w:pStyle w:val="Heading3"/>
      </w:pPr>
      <w:r>
        <w:t>Résumé :</w:t>
      </w:r>
    </w:p>
    <w:p>
      <w:r>
        <w:t>Aujourd ' hui, la création des aires protégées gagne de l'importance au sein des pdlitiques publiques tout en        introduisant le droit de la population locale à un développement durable. Ainsi, à travers la création des parcs          nationaux, les pays peuvent tirer profit tout en participant à la protection d'un patrimoine mondial inestimable .               Dans ce contexte le paysage gagne de plus en plus de l'importance.Le parc national d'El Kala qui se caractérise            par la présence d'une variété d'écosystème offrant des richesses exceptionnelles en paysages et patrimoine est          ayant requis un classement auprès de l'UNESCO comme réserve de la biosphère, est soumis à plusieurs sources             de dégradations qui détruisent son image malgré un effort public de conservation.L'enquête du terrain a démontré               que ces dégradations sont dues principalement au chevauchement des prérogatives des acteurs publics et à         l'incohérence entre les différents services de gestion, au manque de moyens humains et financiers du parc,                       à l'ignorance de la spécificité du PNEK par les instruments d'urbanisme et à la forte domestication de ce dernier.              De plus, ce travail fait preuve de l'ignorance des questionnés du statut du PNEK comme aire protégée néanmoins l'attachement de ces derniers au parc et à ses paysages qui sont considérés comme un véritable patrimoine.Mots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