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Politiques de conservation du patrimoine archéologique cas du site archéologique de madaure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Boutemedjet; Sara/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patrimoine/ patrimoine archéologique/ conservation/ site archéologique/ législation/ facteur de dégradation ./ </w:t>
            </w:r>
          </w:p>
        </w:tc>
      </w:tr>
    </w:tbl>
    <w:p>
      <w:pPr>
        <w:pStyle w:val="Heading3"/>
      </w:pPr>
      <w:r>
        <w:t>Résumé :</w:t>
      </w:r>
    </w:p>
    <w:p>
      <w:r>
        <w:t>l'algérie contribue de par son patrimoine à l'édification d'une culture à portée universelle. il est affligeant de constater que ce dernier subisse les outrages du temps, et ce, dans ce qui paraît être, une indifférence générale. il est urgent de réaliser que ce qui risque de disparaître le sera à jamais ,car le processus esten marche et s'accélère . situation qui a suseité notre questionnement à connaitre les véritables raisons et facteurs qui génèrent ces dégradations . le moment est venu ,pour que cette question soit étudiée et analysée d'une manière  et objective .et que soient prises des décisions plus appropriées . allant dans ce but, notre recherche fait émerger le concept de conservation ,tout en le situant à différents niveaux international et national et à travers un des aspects les plus importants qui et l'aspect juridique, sans lequel, toute initiative, décision serait caduque et sans effets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