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cinétique de sédimentation des matiéres en suspension dans le calcul des décanteurs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Kherifi; Wahida/ Hammar, yahia/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 Résumé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dimensionnement/ matières en suspension/ sédimentation/ bassin de décantation./ </w:t>
            </w:r>
          </w:p>
        </w:tc>
      </w:tr>
    </w:tbl>
    <w:p>
      <w:pPr>
        <w:pStyle w:val="Heading3"/>
      </w:pPr>
      <w:r>
        <w:t>Résumé :</w:t>
      </w:r>
    </w:p>
    <w:p>
      <w:r>
        <w:t>La décantation est une opération unitaire, parmi les techniques de séparation liquide - solide par simple gravité. Elle dépend à la fois des propriétés des particules et du régime hydraulique caractérisé respectivement par le flux massique des matières en suspension (MES) à décanter et de la charge  ydraulique superficielle du bassin de décantation. Pour les  articules grenues (particules conservant leurs propriétés physiques initiales) la décantation se fait indépendamment les unes des autres, tandis que les particules coalescentes (particules changeant de propriétés physiques initiales) décantent selon des mécanismes différents du fait qu’elles s’agglomèrent pendant leur sédimentation. Ceux ci rend difficile à dimensionner un bassin de décantation ne connaissant pas la quantité des MESà éliminer. La problématique posée est de savoir quelle est la proportion des matières en suspension à éliminer pour mieux concevoir l'ouvrage de décantation ? La réponse à cette question est l’objet du présent mémoire.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