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Choix et conception de l'organe de l'etancheite  des barrages  en terrebarrage el agrem jijel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Heragmi; Ali/ Djemili, Lakhdar/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ouvrages/ cours d'eau/ activités/ oeuvres moderne/ pertes inadmissibles/ état embryonnaire/ </w:t>
            </w:r>
          </w:p>
        </w:tc>
      </w:tr>
    </w:tbl>
    <w:p>
      <w:pPr>
        <w:pStyle w:val="Heading3"/>
      </w:pPr>
      <w:r>
        <w:t>Résumé :</w:t>
      </w:r>
    </w:p>
    <w:p>
      <w:r>
        <w:t>Le problème de l'étanchéité du massif se pose chaque fois que le calcul des infiltrations en superstructure indique des pertes inadmissibles.ces pertes peuvent soit entraîner la ruine de l'ouvrage par formation de renard, soit encore, sans fluir à sa sécurité, être gênantes pour l'exploitation du barrage.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