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numerique d'un barrage sous sollicitations statique et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Adjadj; Mustapha/ Meksaouine, Med/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bibliogr.f.f..86-88. - Résumé en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barrage/ concepteurs/ conséquences économiques/ étude bibliographique/ codiat rofsa  ./ </w:t>
            </w:r>
          </w:p>
        </w:tc>
      </w:tr>
    </w:tbl>
    <w:p>
      <w:pPr>
        <w:pStyle w:val="Heading3"/>
      </w:pPr>
      <w:r>
        <w:t>Résumé :</w:t>
      </w:r>
    </w:p>
    <w:p>
      <w:r>
        <w:t>La maîtrise de la sécurité est une des préoccupations majeures des concepteurs et des exploitants de barrages. Elle revêt un caractère essentiel, la rupture de ces ouvrages étant susceptible d’entraîner des conséquences économiques et humaines dramatiques. C’est dans cet état d’esprits que nous avons entrepris l’étude numérique complète d’un barrage en terre qui est le barrage de Codiat Rofsa. A travers une étude bibliographique, nous avons pue mettre en exergue les différentes composantes influençant la stabilité des barrages en terre. Nous somme passé ensuite à l’étude numérique de notre barrage en question (Codiat Rofsa) premièrement à l’état statique avec les logiciels Plaxis et Geostudio afin d’établir un modèle de référence et vérifié la stabilité statique, puis nous avons entrepris l’étude des performances séismiques de notre ouvrage en le soumettant à un séisme de magnitude 0.2 g, et en procédant à une étude complète avec Geostudio.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