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Glycosylation non enzymatique de i'adn et des proteines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Belkhodja; Razika/ Université d'Alger/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31cm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protéine/ enzymatique/ antithrombine./ </w:t>
            </w:r>
          </w:p>
        </w:tc>
      </w:tr>
    </w:tbl>
    <w:p>
      <w:pPr>
        <w:pStyle w:val="Heading3"/>
      </w:pPr>
      <w:r>
        <w:t>Résumé :</w:t>
      </w:r>
    </w:p>
    <w:p>
      <w:r>
        <w:t>Nos résultats démontrent que les groupements amines des bases peuvent etre glycosylés in vitro donc l'accessibilité des bases est possible malgré l'organisation en double hélice et "supercoil" du plasmide PBR 322.ceci vient compléter les résultats de bucala et coll 1984 qui ont étudié la glycosylation de l'ADNsimple brin.la glycosylation du plasmide est suivie d'une linéarisation ,ainsi les sucres agissent comme des agents alkylants labilisant les liaisons glycosidique entre les purine et le désoxyribose.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