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différents régimes hydriques sur la capacité de dénitrification et de respiration des communautés microbiennes d'un étang de camargue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Alliouch-kerboua; Chérifa/ Gacemi, Kirane/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Bibliogr.f.f.45-52.- Résumé en arabre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zones humides/ fonctions microbiennes/ conditions hydriques/ communauté microbienne/ sédimen./ </w:t>
            </w:r>
          </w:p>
        </w:tc>
      </w:tr>
    </w:tbl>
    <w:p>
      <w:pPr>
        <w:pStyle w:val="Heading3"/>
      </w:pPr>
      <w:r>
        <w:t>Résumé :</w:t>
      </w:r>
    </w:p>
    <w:p>
      <w:r>
        <w:t>Les zones humides sont des écosystèmes très riches, vu la biodiversité importante qu'elles hébergent. Elles sont aussi considérées comme des écosystèmes très vulnérables, car particulièrement affectés par les fortes pressions climatiques et démographiques actuelles. Dans notre étude, nous avons cherché à évaluer dans quelle mesure l'application de différentes conditionshydriques peut affecter les fonctions microbiennes de respiration et de dénitrification (responsables</w:t>
        <w:br/>
        <w:br/>
        <w:t>respectivement d'émissions de CO2 et de N2O) dans deux lots de sédiment provenant d'un même étang de Camargue, l'un prélevé dans une zone qui connaît des alternances inondation /exondation (A) et l'autre dans une zone qui est toute l'année sous eau (B). Ces deux lots de sédiment ont été soumis à trois traitements différents : maintenus saturés en eau durant toute la durée de l'expérience (2 mois), soumis à une dessiccation progressive puis laissés secs jusqu'à la fin de l'expérience, ou encore soumis à une alternance dessiccation  réhumectation  dessiccation. Les potentiels de</w:t>
        <w:br/>
        <w:br/>
        <w:t>dénitrification et de respiration ont été affectés par les conditions hydriques appliquées lors de l'expérience mais les sédiments A et B ont répondu différemment, suggérant que l'histoire du sédiment conditionne sa réponse à un stress tel que l'assèchement. Les potentiels de dénitrification et de respiration sont restés relativement stables au cours du temps pour les deux sédiments maintenus sous eau. En revanche, l'assèchement expérimental a entraîné une diminution du</w:t>
        <w:br/>
        <w:br/>
        <w:t>potentiel de respiration pour les deux sédiments. Par contre, les deux sédiments ont montré des réponses différentes quant à l'évolution du potentiel de dénitrification. La réhumectation du sédiment en cours d'incubation s'est traduite par une stimulation du potentiel de dénitrification alors que la respiration aérobie semblait ne pas répondre à ce retour à des conditions favorables. Par ailleurs, la diversité métabolique des communautés microbiennes des sédiments diminuait sensiblement (en termes du nombre de substrats métabolisés) suite à l'assèchement expérimental, l'origine et les caractéristiques du sédiment conditionnant cette réponse, notamment lors du traitement d'alternance.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