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du potentiel de biodégradation des hydrocarbures.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Maachia; Leila/ Univérsite De Annaba/ Bouzerna, N./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Méthodes analytiques/ CPG/ gravimétrie/ minéralisation et analyse microbiologique./ </w:t>
            </w:r>
          </w:p>
        </w:tc>
      </w:tr>
    </w:tbl>
    <w:p>
      <w:pPr>
        <w:pStyle w:val="Heading3"/>
      </w:pPr>
      <w:r>
        <w:t>Résumé :</w:t>
      </w:r>
    </w:p>
    <w:p>
      <w:r>
        <w:t>L'ensemble des méthodes analytiques utilisées, CPG, gravimétrie, minéralisation et analyse microbiologique nous ont permis d'étudier sans ambiguité la biodégradation in vitro d'un distillat du pétrole brut de Hassi-Messoud (NAPHTA B). Cette étude permis de mettre en lumière les points fondamentaux suivants: -Les quatres populations mixtes prélevées à partir de biotopes différents se comportent de la même façon vis-à-vis de la source de carbone. Même observation pour les souches pures isolées. Dans les conditions idéales du laboratoire, la biodégradation est un phénomène relativement rapide dans l'échelle de temps se situe dans l'intervalle heures-semaines. -En culturemixte non renouvelées et dans des conditions optimales, les valeurs du taux de biodégradation s'échelonnent entre 46 et 68%, pour les souches pures et dans les mêmes conditions, ils s'échelonnent entre 2 et 65% pour un temps d'incubation variant entre 2 et 21 jours.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