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rôle du système enzyùatique du glutathion dans la détoxication du paracétamol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Saka née Aouachri; Wassila/ Bouzerna, N./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toxicité/ glutathion/ Paracétamol/ diclofénac/ stress oxydatif/ glutathion peroxydase./ </w:t>
            </w:r>
          </w:p>
        </w:tc>
      </w:tr>
    </w:tbl>
    <w:p>
      <w:pPr>
        <w:pStyle w:val="Heading3"/>
      </w:pPr>
      <w:r>
        <w:t>Résumé :</w:t>
      </w:r>
    </w:p>
    <w:p>
      <w:r>
        <w:t>L'étude de la toxicité du paracétamol ainsi que l'effet de l'association entre le paracétamol (PARA) et le diclofénac (DiCF) sur cette toxicité ont fait l'objet de notre étude. Soixante rats mâles de genre Albinos wistar ont été traités par gavage oral (per os) pendant sept jours. Les doses utilisées du paracétamol et du diclofénac sont mentionnées par (PARA+DiCF) mg/kg. Un lot témoin a été traité par l'eau minérale (0+0) mg/kg et un deuxième lot a été traité seulement par une dose toxique de paracétamol (100+0) mg/kg. Les lots restants ont été traités par une combinaison de différentes doses de PARA et une dose thérapeutique de DiCF (15+3, 100+3, 200+3 et 400+3) mg/kg. En vue des résultats trouvés, le traitement n'a pas influencé les variations pondérales des organes (foie, reins coeur et rate) par rapport à 100 g du poids corporel. Sur le plan hématologique, le traitement par une dose toxique du PARA (100+0) mg/kg a induit une toxicité exprimée par le changement significatif de quelques paramètres hématologiques, cependant le traitement des rats par le PARA ou par la combinaison PARA+DiCF par ses différentes doses n'a pas altéré les paramètres urinaires. La concentration des transaminases (ASAT, ALAT), phosphatases alcalines (PAL), glutathion peroxydase (GPx), glutathion</w:t>
        <w:br/>
        <w:br/>
        <w:t>réductase (GR), glutathion (GSH), glucose, cholestérol, créatinine, bilirubine directe et totale a varié significativement chez les rats traités par rapport aux témoins. La toxicité du PARA a été révélée par une augmentation dose dépendante des taux sanguins de ASAT, ALAT, PAL, GPx, GR, glucose, créatinine, bilirubine (directe et totale), et une diminution de la</w:t>
        <w:br/>
        <w:br/>
        <w:t>concentration du cholestérol sérique et du GSH tissulaire, en comparant aux témoins. L'observation microscopique des coupes histologiques hépatiques des rats traités a révélé la présence d'une nécrose hépatique au niveau des lots (100+0), (200+3) et (400+3) mg/kg par rapport au témoin. Cependant les coupes histologiques rénales des rats étudiés ont révélé</w:t>
        <w:br/>
        <w:br/>
        <w:t>l'absence dans tous les lots de nécrose rénale. Les résultats de la déplétion du GSH et l'élévation des enzymes du stress oxydatif (GPx et GR) mettent en évidence le rôle détoxifiant du système glutathion. L'association PARA+DiCF) a révélé un effet protecteur objectivé par la réduction des concentrations de ASAT, ALAT, PAL, GPx, GR, bilirubine, et par l'augmentation du taux de GSH comparant aux témoins. Au regard de ces résultats, il apparaît que le DiCF possède une action protectrice vis-à-vis des effets toxiques du PARA.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