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Biodegradation des fongicides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Ouartsi; Nouha/ Bordjiba, Ouahiba/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Bibliogr.f.1-16.-Résumé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Le bromuconazole/ xénobiotique toxique/ bioremédiation/ système biphasique/ biomasse microbienne ./ </w:t>
            </w:r>
          </w:p>
        </w:tc>
      </w:tr>
    </w:tbl>
    <w:p>
      <w:pPr>
        <w:pStyle w:val="Heading3"/>
      </w:pPr>
      <w:r>
        <w:t>Résumé :</w:t>
      </w:r>
    </w:p>
    <w:p>
      <w:r>
        <w:t>Le bromuconazole, qui présente un effet fongicide, est un xénobiotique toxique pour l'environnement. Dans le but de trouver un schéma possible de bioremédiation, cette présente recherche a été menée dans le but de tester, in vitro, sa biodégradation. Le bromuconazole a donc été utilisé comme unique source de carbone et d'énergie en présence d'un consortium microbien prélevé d'un sol longuement traité par ce fongicide. Un système biphasique MBS/huile de silicone a été utilisé durant toute la période d'acclimatation de la biomasse microbienne. L'utilisation de cette phase tampon a pour objectif de lever, d'une part, l'inhibition par excès du xénobiotique et d'autre part, elle a permis d'augmenter sa solubilité</w:t>
        <w:br/>
        <w:br/>
        <w:t>dans la phase organique compte tenu de sa faible solubilité dans l'eau (50 mg/l). Les batch ont été conduits à 30°C avec une vitesse d'agitation de 190 rpm. La fermentation a été suivie par mesure de la densité optique, la détermination du poids sec et l'évolution du pH du milieu. Lélimination du xénobiotique a été suivie en dosant le substrat dans la phase aqueuse à l'aide d'une HPLC-MS. Le pouvoir émulsifiant ainsi que l'hydrophobicité du consortium sélectionné ont également été étudiés. Les résultats obtenus après une période d'acclimatation du consortium de plusieurs mois ont révélé par le biais des mesures de DO, les mesures du poids sec ainsi que le dosage du substrat, une forte adaptation de celui-ci au   uconazole, utilisé comme unique source de carbone et d'énergie. L'utilisation du système biphasique a permis, non seulement de lever</w:t>
        <w:br/>
        <w:br/>
        <w:t>l'inhibition due au substrat, mais il a également permis une meilleure assimilation du xénobiotique comparée à celle obtenu en système monophasique (milieu minéral). L'étude microbiologique a permis d'identifier une seule souche capable d'utiliser le fongicide comme unique source de carbone. Il s'agit de l'espèce Aeromonas hydrophila. Cette souche bactérienne exhibe une forte hydrophobicité ainsi qu'un pouvoir émulsifiant vis-à-vis du xénobiotique. Les conditions expérimentales utilisées au cours de cette étude ont permit, une fois de plus, de révéler l'efficacité de la phase organique dans la biodégradation du bromuconazole et ceci en réduisant la période d'acclimatation du consortium sélectionné.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