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caractéristiques physicochimiques et la composition biochimique d'huiles d'olive issues de trois variétés guasto, blanquette et rougette plantées dans l'est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Mezghache; Monia/ University badji mokhtar/ Henchiri, C./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Bibliogr.p.p.76-85.-Résumé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qualité/ Huile d'olive/ stérols/ physicochimie/ acides gras/ Composés mineurs./ </w:t>
            </w:r>
          </w:p>
        </w:tc>
      </w:tr>
    </w:tbl>
    <w:p>
      <w:pPr>
        <w:pStyle w:val="Heading3"/>
      </w:pPr>
      <w:r>
        <w:t>Résumé :</w:t>
      </w:r>
    </w:p>
    <w:p>
      <w:r>
        <w:t>L'objectif de cette etude est de caracteriser trois huiles d'olives issues des varietes Guasto, Blanquette et Rougette plantees dans l'Est algerien, durant trois campagnes oleicoles successives, 2004-2005, 2005-2006 et 2006-2007.Pour cela des analyses physicochimiques concernant l'acidite libre, les indices de peroxyde, de saponification, de refraction et l'absorption en UV, completees par une etude biochimique de la composition en acides gras, en triglycerides et composes de l'insaponifiable ont ete realisees.Les resultats des analyses physico-chimiques obtenus montrent que ces huiles possedent des caracteristiques physicochimiques d'huile d'olive vierge extra vierge a lampante, montrant ainsi l'impact des conditions climatiques , surtout durant les campagnes 2004-05 et 2005-06. La composition en acides gras revele des fluctuations moderees entre les individus d'un meme cultivar, principalement au niveau de la teneur en acide oleique (C18 :1). Concernant l'acide linoleique, les trois cultivars etudies montrent une variation surtout observee chez les deux varietes Guasto (7,8-15%) et Rougette (09,7 a 15,6%) au cours des trois campagnes. Les teneurs en acides gras totaux de tous les echantillons repondent aux normes de commercialisation du COI. Les taux des triglycerides (TG) et d'acides gras libres sont assez proches entre les varietes au cours des trois campagnes a l'exception des deux varietes Guasto 2006-2007 et Rougette 2004-2005. En ce qui concerne la determination de certains composants de l'insaponifiable, les resultats montrent que, quatre composes steroliques , le sitosterol dominant ( 43- 66%),le delta 5 avenasterol (8-13%), le stigmasterol (. 1,5%) et le campesterol ( 1- 2%) ;un sterol methyle (4 methyle sterol) :le citrostadienol ( 4 a 7%) et deux alcools triter peniques : le 24 methylene cycloartanol (10- 33%) et le cycloartenol ( 3-13%), ont ete identifies et caracterises par chromatographie en phase gazeuse avec detecteur a ionisation de flammes et couplee a la spectrometrie de masse. Ces resultats varient selon la campagne et la variete. Les teneurs obtenues pour les quatre sterols sont comparables aux specifications de la reglementation europeenne (reglement CEE n°2568, annexe 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