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des ige et asthme aiiergique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Boumendjel - messarah; Amel/ Boulakoud, Mohamed Salah/ Universite badji mkhtar/ </w:t>
            </w:r>
          </w:p>
        </w:tc>
      </w:tr>
      <w:tr>
        <w:trPr>
          <w:trHeight w:val="567"/>
        </w:trPr>
        <w:tc>
          <w:tcPr>
            <w:tcW w:type="dxa" w:w="3000"/>
          </w:tcPr>
          <w:p>
            <w:r>
              <w:t>Nombre de Pages</w:t>
            </w:r>
          </w:p>
        </w:tc>
        <w:tc>
          <w:tcPr>
            <w:tcW w:type="dxa" w:w="7000"/>
          </w:tcPr>
          <w:p>
            <w:r>
              <w:t>172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Biologie moleculaire/ mecanisme/ immunoanalyse/ </w:t>
            </w:r>
          </w:p>
        </w:tc>
      </w:tr>
    </w:tbl>
    <w:p>
      <w:pPr>
        <w:pStyle w:val="Heading3"/>
      </w:pPr>
      <w:r>
        <w:t>Résumé :</w:t>
      </w:r>
    </w:p>
    <w:p>
      <w:r>
        <w:t>Dans ce travail de recherche, nous abordons la synthese des Ige a travers deux aspects essentiels : -un aspect fondamental qui, tout en etant base sur l'utilisation de la cytometrie en flux, des methodes de tri cellulaire et des techniques de biologie moleculaire, aborde les mecanismes de la commutation isotypique et le role de l'IL-27 dans les lymphocytes B humains en culture; et un aspect applique qui, ayant ete realise sur des prelevements sanguins chez une population de soixante-quinze (75) enfants asthmatiques de Annaba (Algerie), est base sur diverses methodes d'immunoanalyse.Dans ce contexte, nous avons mis notamment en evidence l'expression d'un recepteur fonctionnel de l'IL-27, comprenant les sous unites TCCR et gp130 sur les cellules B naives du sang de cordon humain. Cependant, nous relevons le fit que leur expression est faible par rapport aux cellules B spleniques naives et memoires. Puis, nous avons montre que cette cytokine augmente la production d'Ige induite par l'IL-4 par les cellules B naives stimulees avec l'anti-CD40 s ans pour autant avoir d'effet sur l'induction de l'activite du promoteur du germline C3 Cette cytokine favorise la commutation isotypiqe et la differenciation des cellules B naives en plasmocytes et induit la production des IgG1 par les cellules naives de la rate CD19+CD27-IgD+IgG- et les cellules B du sang de cordon, activees par l'intermediaire de CD40. Toutefois, ces effets restent modestes par rapport a ceux de lپl'il-10 et l'IL-21 et regulent exclusivement la production d'IgG1. Enfin, l'etude clinicobiologique a demontre la frequence (75%) de l'atopie(capacite genetique a synthetiser des Ige vis-a-vis des antigenes de l'environnement) et des sensibilisations (surtout allergenes lies a l'habitat) dans cette population. Le dosage des Iges parait etre un bon marqueur biologique de la sensibilisation dans cette population dans laquelle les neumallergenes constituent des facteurs environnement aux tres souvent impliques dans la genese des crises d'asthme et leur severite. Quant aux sensibilisations alimentaires, moins frequentes (9/75) et toujours associees a des Iges aux acariens, elles semblent correspondre plus a une polysensibilisation qu'a une vraie allergie alimentaire. L'interet de l'ECP, marqueur d'activation des eosinophiles, dans l'evaluation de la severite de l'asthme et du degre de sensibilisation allergenique a ainsi ete mis en evidence.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