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l'érude du biofilm d'acienetobacter baumannii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Zouaoui; Wafa/ University badji mokhtar/ Djeribi, Ryad/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Bibliogr.f.1-14.-Résumé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biofilm/ acinetobacter baumannii/ sondes urinaires/ propriétés physico-chimiques/ surface/ oxygène/ adhésion./ </w:t>
            </w:r>
          </w:p>
        </w:tc>
      </w:tr>
    </w:tbl>
    <w:p>
      <w:pPr>
        <w:pStyle w:val="Heading3"/>
      </w:pPr>
      <w:r>
        <w:t>Résumé :</w:t>
      </w:r>
    </w:p>
    <w:p>
      <w:r>
        <w:t>Les biofilms se dévloppant sur sondes urinaires , constituent un véritable problème de santé en sus des infections noscomiales qu'ils occasionnent .acinetobcter baumannii est le plus souvent incrimié dans cesinfections et sa grandz résistance aux antibiotiques augmente souvent la mortalitéet la durée de séjour des patients hospitalisés ,l'élaboration de stratégies de lutte contre ces biofilms nécessite , donc , une bonne compréhension des mécanismes impliqués dans le processus de bioadhésion.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