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Strongles , parasites gastro-intestinaux des bovins dans la region de annaba et souk-ahras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Zeghdoudi, Mourad/ Bensouillah, Mourad/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Bibliogr.p.p.212-218.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protéine/ Anergie/ pathologique/ anti-corps/ génétique ./ </w:t>
            </w:r>
          </w:p>
        </w:tc>
      </w:tr>
    </w:tbl>
    <w:p>
      <w:pPr>
        <w:pStyle w:val="Heading3"/>
      </w:pPr>
      <w:r>
        <w:t>Résumé :</w:t>
      </w:r>
    </w:p>
    <w:p>
      <w:r>
        <w:t>L'etude de la variation du Cdans un groupe de patients lupiques montre que ce paramètre pourrait servir de  marqueur de laboratoire pour l'évaluation et le suivi du LED , vues , dune part , les intercorrélations positives entre CH50 , C3 et C4 , indiquant le méme comportement selon le statut de la maladie , et l'autre part , leurs corrélations négatives avec les ANAet la cryoglobine.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