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biochimique et génétique des bactéries lactiques isolées de différents biotopes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Meradi; Laarem/ Abdi, Akila/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Bacteries lactique/ biotope/ antagonisme/ plasmide/ antibiogramme ./ </w:t>
            </w:r>
          </w:p>
        </w:tc>
      </w:tr>
    </w:tbl>
    <w:p>
      <w:pPr>
        <w:pStyle w:val="Heading3"/>
      </w:pPr>
      <w:r>
        <w:t>Résumé :</w:t>
      </w:r>
    </w:p>
    <w:p>
      <w:r>
        <w:t>Cette étude a été réalisé, dans le but de participer par des techniques appropriées, à mieux caractériser les bactéries lactiques, isolées de divers biotopes. lait cru (de vache et de chèvre) de plusieurs régions. Fromage traditionnel " el kemmaria ", de la région de Ghardaïa. La cavité buccale et vaginale de personnes saines . Les bactéries ainsi isolées, ont fait l'objet d'une étude approfondie, portant sur la recherche de certaines caractères biochimiques, physiologiques et génétiques permettant de les caractériser et de les identifier sur la base des données bibliographiques. Les tests d'identifications. auxquels l'ensemble des souches isolées étaient soumises. ont pennis d'identifier 39 souches lactiques, appartenant aux différents genres: Lactobacillus, Lactococcus, Enterococcus et Leuconostoc, dont la répartition est variable selon le biotope. Leur pouvoir antagoniste vis à vis de quelques bactéries pathogènes: " Staphylococcus aureus, Escherichia coli, Pseudomonas aerogenosa " a été mis en é'vidence par deux méthodes : Méthode de diffusion sur gélose, selon Talon et al., t 988. MétlK&gt;de des puits, selon Vescovo et al., 1996. Qui suivant certaines conditions, permettent d'identifier le type d'inhibition. La plupart des souches lactiques étudiées, présentent un effet inhibiteur intéressant , due à un ou à plusieurs facteurs: acidité, peroxyde d'hydrogène et bactériocines. Aucune activité inhibitrice par une bactériocine. n'a été observé, vis à vis des bactéries Gram négatif, résultat en concordance avec les données bibliographiques. L ' étude de la sensibilité des bactéries lactiques aux antibiotiques, a révélé qu' elles présentent des profils variables, quelque soit le biotope.  L'extraction de l' ADN plasmidique et son analyse par éléctrophorèse en gel d'agarose, réalisée selon le protocole d'extraction dite " Inini prep-rapid " de O' Sullivan et Klaenharnmer (1993), a révélé que les bactéries présentent des profils plasrnidiques complexes, dont la présence peut expliquer les caractères déjà trouvés chez ces bactéries, tels que: l'antibiorésistance, l'activité bactériocine et le métabolisme de certains sucres.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