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Determination des actinomycetes producteurs d'antibiotiques isoles du sol de trois palmeraies du sud - ouest algerien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Hacene; Hocine/ Houari Boumediene/ Sabaou, N 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bactéries/ antibiotique/ palmerais/ actinomycetes./ </w:t>
            </w:r>
          </w:p>
        </w:tc>
      </w:tr>
    </w:tbl>
    <w:p>
      <w:pPr>
        <w:pStyle w:val="Heading3"/>
      </w:pPr>
      <w:r>
        <w:t>Résumé :</w:t>
      </w:r>
    </w:p>
    <w:p>
      <w:r>
        <w:t>Le travail que nous avons effectué consiste à rechercher de manière systémycètes producteurs d'antibiotiques dans les sols de palmeraies et de les identifier .dans cette optique , nous avons étudié les propriétés antagonistes de 746 isolats montrent que : -les bactéries à cram+ sont plus sensibles que les bactéries.à cram- et les champignons à l'action des actinomycètes.environ 35 à 40 % des isolats sont actifs sur certaines bactéries à cram+ : b.subtilis ,m.luteus et b.cereus.ces trois bactéries ainsi que s.aureus sont les pluantagns fortement inhibées ; l'intensité de l'action antibiotique est moins prononcée sur c.diphteriae et s.pyogenes.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