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 etude d' une correlation entre l' urticaire et l' auto-immunite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Bouhafs; Leila/ Benlatreche, C./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Urticaire/ Auto-Immunite/ Anticorps antinucléaire/ Complément c3 &amp; c4 ./ </w:t>
            </w:r>
          </w:p>
        </w:tc>
      </w:tr>
    </w:tbl>
    <w:p>
      <w:pPr>
        <w:pStyle w:val="Heading3"/>
      </w:pPr>
      <w:r>
        <w:t>Résumé :</w:t>
      </w:r>
    </w:p>
    <w:p>
      <w:r>
        <w:t>L' urticaire est une maladie fréquente puisque' on estime 15à20%de la population a présenté au moins un épisode au cours de sa vie; cependant, la plus part de ces épisodes sont aigues et une étiologie reste inconnue, et des allergènes exogènes n'ont pas été identifiés comme étant une cause dans la majorité des cas Ainsi l' hypothèse de l' effet délétère d' auto-anticorps circulant IgG dirigée contre le récepteur de haute affinité pour L'IgEest avancé par plusieurs auteurs et un concept "auto-immun" a été développé.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