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 l'activité amylolytique de 22 souches de champignons microscopies isolées à partir d'un sol de la région d'EKala ( Nord Est)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Fenghour; Hind/ Univérsite De Annaba/ Ladjama,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Bibliogr.p.p.99-112.-Résumé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L'activité amylolytique/ 22 souches/ les champignons microscopies/ la région d'EKala./ </w:t>
            </w:r>
          </w:p>
        </w:tc>
      </w:tr>
    </w:tbl>
    <w:p>
      <w:pPr>
        <w:pStyle w:val="Heading3"/>
      </w:pPr>
      <w:r>
        <w:t>Résumé :</w:t>
      </w:r>
    </w:p>
    <w:p>
      <w:r>
        <w:t>22 Souches de champignons microscopiques appartenant aux genres suivants: Aspergillus, Penicillium, Mucor, Alternaria, Nigrospora et Trichoderma ont été isolées d'un sol de la région d'EL-KALA (Nord-Est). Les Souches présentant une activité pectinolytique dépolymérisante. Elle sécrétent des polygalacturonases capables d'hydrolyser l'acide pectique plus ou moins estérifié. Par ailleurs, la souche Trichoderma semble être plus active, sensible à la répression catabolique par le glucose, activée par le chlorure de sodium (NaCL), agissant à pH 5, à 30 ّC et son substrat préférentiel est l'acide polygalacturonique.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