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Eco-biologie de la résistance des bactéries d'informations urinaires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Toumi; Nadia/ Djahoudi, A/ </w:t>
            </w:r>
          </w:p>
        </w:tc>
      </w:tr>
      <w:tr>
        <w:trPr>
          <w:trHeight w:val="567"/>
        </w:trPr>
        <w:tc>
          <w:tcPr>
            <w:tcW w:type="dxa" w:w="3000"/>
          </w:tcPr>
          <w:p>
            <w:r>
              <w:t>Nombre de Pages</w:t>
            </w:r>
          </w:p>
        </w:tc>
        <w:tc>
          <w:tcPr>
            <w:tcW w:type="dxa" w:w="7000"/>
          </w:tcPr>
          <w:p>
            <w:r>
              <w:t>92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Bibliogr.f.1-12.- Résumé en arabe et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Bactérie/ urine/ éco-biologie/ L'infection urinaire ./ </w:t>
            </w:r>
          </w:p>
        </w:tc>
      </w:tr>
    </w:tbl>
    <w:p>
      <w:pPr>
        <w:pStyle w:val="Heading3"/>
      </w:pPr>
      <w:r>
        <w:t>Résumé :</w:t>
      </w:r>
    </w:p>
    <w:p>
      <w:r>
        <w:t>L'infection urinaire en Algérie représente une des principales pathologies nécessitant une antibiothérapie ( 20,52 % ).</w:t>
        <w:br/>
        <w:br/>
        <w:t>La microflore responsable est représentée essentiellement par des bacilles Gram-négatif( 91,37 %), notamment de la famille des Enterobacteriaceae (E. coli, Klebsiel/a, Proteus, Enterobacter) , Pseudomonas et Acinetobacter.Une forte proportion de ces micro-organismes montre une résistance accrue aux antibiotiques habituellement utilisés dans le traitement de ce type d'infection, souvent du genre croisés. Parmi elles, les bêta-Iactamines et les quinolones sont les deux familles les plus concernées par ce phénomène. Les souches en cause montrent des phénotypes de résistance varié et le plus souvent par production de pénicillinases de haut niveau pour les entérobactéries et Acinetobacter et des céphalosporinases hyper-produites pour P.\"eudomonas. Environ 18% des entérobactéries étudiées sont productrices d'enzymes du type bêta-Iactamases à spectre élargi (BLSE).Le phénomène de résistance peut avoir un support plasmidique ce qUi représente un phénomène inquiétant de sélection de mutants multi-résistants. Le danger est d'autant plus important vu qu'il touche certaines molécules actives nouvellement introduites dans notre pays.De ce fait, il s'impose une discipline rigoureuse d'antibiothérapie de l'infection urinaire et un control systématique et régulier de la résistance des souches mises en</w:t>
        <w:br/>
        <w:br/>
        <w:t>cause.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