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Température compensation of magnetoresistor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Nedil; S./ Université de Wales/ Sebravatnam/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température/ magnetoresistor/ typical MRH./ </w:t>
            </w:r>
          </w:p>
        </w:tc>
      </w:tr>
    </w:tbl>
    <w:p>
      <w:pPr>
        <w:pStyle w:val="Heading3"/>
      </w:pPr>
      <w:r>
        <w:t>Résumé :</w:t>
      </w:r>
    </w:p>
    <w:p>
      <w:r>
        <w:t>Results of this work show that: (i) there is close correlation between the a resistance of the sensor and temperature1 (ii) electronic compensation can reduce the temperature  coefficient of resistance to a negligible value. The measurements of the resistance as a function of temperature show that the mean temperature coefficient of resistance is 2820 ppm/OC predicted in theory. The resistance increases with increasing temperature, while the magnetoresistance ratio decreased with increasing temperature. The results presented of the lset temperature variation in with temperature have shown that</w:t>
        <w:br/>
        <w:br/>
        <w:t>the 440 coefficient has been reduced to a mean value of \ ppm/OC. This can be further reduced by trimming the</w:t>
        <w:br/>
        <w:br/>
        <w:t>resistor. An error is also due to the limiting resistor (see Figure 5.1) which has a temperature coefficient of resistance of 50 ppm/OC. Other methods of temperature compensation, such as bridges, need to be investigated. Digital methods of</w:t>
        <w:br/>
        <w:br/>
        <w:t>temperature compensation usJ.ng 'look-up' tables may also be used. These methods are recommended as future</w:t>
        <w:br/>
        <w:br/>
        <w:t>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