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PWM strategies for microprocessor control of variable speed drives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Midoun; A./ Université de Bristol/ </w:t>
            </w:r>
          </w:p>
        </w:tc>
      </w:tr>
      <w:tr>
        <w:trPr>
          <w:trHeight w:val="567"/>
        </w:trPr>
        <w:tc>
          <w:tcPr>
            <w:tcW w:type="dxa" w:w="3000"/>
          </w:tcPr>
          <w:p>
            <w:r>
              <w:t>Nombre de Pages</w:t>
            </w:r>
          </w:p>
        </w:tc>
        <w:tc>
          <w:tcPr>
            <w:tcW w:type="dxa" w:w="7000"/>
          </w:tcPr>
          <w:p>
            <w:r>
              <w:t>351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Bibliogr.p.p.346-351.</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Microprocessor/ implementation/ low harmonic/ variable speed/ strateqy is superior ./ </w:t>
            </w:r>
          </w:p>
        </w:tc>
      </w:tr>
    </w:tbl>
    <w:p>
      <w:pPr>
        <w:pStyle w:val="Heading3"/>
      </w:pPr>
      <w:r>
        <w:t>Résumé :</w:t>
      </w:r>
    </w:p>
    <w:p>
      <w:r>
        <w:t xml:space="preserve">The analysis and development of different PWM strategies suitable for inverter based systèms are presented inthis thesis. The conventional sinusoidal modulation is reviewed showing the superiority of the regular asymmetric samppling over the regular symmetric and natural sampling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