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des modulations codeés en treillis appliquée aux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Hamza/ Doghmane, Noureddine/ </w:t>
            </w:r>
          </w:p>
        </w:tc>
      </w:tr>
      <w:tr>
        <w:trPr>
          <w:trHeight w:val="567"/>
        </w:trPr>
        <w:tc>
          <w:tcPr>
            <w:tcW w:type="dxa" w:w="3000"/>
          </w:tcPr>
          <w:p>
            <w:r>
              <w:t>Nombre de Pages</w:t>
            </w:r>
          </w:p>
        </w:tc>
        <w:tc>
          <w:tcPr>
            <w:tcW w:type="dxa" w:w="7000"/>
          </w:tcPr>
          <w:p>
            <w:r>
              <w:t>110f.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Futurs réseaux/ données multimédia/ canal temps-espace/ antennes multiples./ </w:t>
            </w:r>
          </w:p>
        </w:tc>
      </w:tr>
    </w:tbl>
    <w:p>
      <w:pPr>
        <w:pStyle w:val="Heading3"/>
      </w:pPr>
      <w:r>
        <w:t>Résumé :</w:t>
      </w:r>
    </w:p>
    <w:p>
      <w:r>
        <w:t>Dans le contexte des futurs réseaux sans fil large bande et NGI, la transmission efficace de données multimédia requiert des techniques de codage et de modulation sophistiquées et de très haute efficacité spectrale pour faire face aux évanouissements sélectifs en fréquence du canal radio-mobile et à la limitation de la largeur spectre disponible, ainsi qu’au problème du retard variable. Des techniques très prometteuse sont actuellement à l’étude parmi : - Les techniques de codage de canal temps-espace qui reposent sur l’utilisation conjointe d’antennes multiples à l’émetteur et/ou récepteur</w:t>
        <w:br/>
        <w:br/>
        <w:t>(« MIMO Multiple Input Multiple Output »), permettent d’obtenir des gains de diversité et de codage intéressants. Sous certaines conditions, la capacité du canal de transmission peut être ainsi accrue considérablement par rapport aux transmissions à une seule antenne. - La technique de modulation MC-CDMA (« Multi-Carrier Code Division Multiple Access »), robuste et de très haute efficacité spectrale, étale les données de chaque utilisateur sur un ensemble de sous- porteuses orthogonales (« OFDM Orthogonal Frequency Division Multiplex ») par un code d’étalement propre à chaque utilisateur, ce qui permet à plusieurs utilisateurs de partager un même canal au même moment. Parmi les nombreux codes temps-espace actuellement proposés dans la littérature, les codes temps-espace ST-TCM (« Space-Time Treillis Coded Modulation »), construits à partir de modulation codée en treillis (MCT), offrent des gains de diversité de ce codage qui peuvent être optimaux. L’aspect innovant des MCT est de considérer les deux fonctions de codage et de modulation, habituellement séparées, comme une seule et unique opération. A elles seules, les MCT permettent d’obtenir, dans un canal AWGN (ADD WHITE GAUSSIEN NOISE), des gains de codage importants par rapports aux modulations non codées de même efficacité spectrale. Le sujet de travail a pour objectif l’étude des codes temps-espace construits à partir des MCT et éventuellement combinés au MC-CDMA.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