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du facteur de structure dynamique d'un plasma par la méthode des fonctions de Green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Boufendi; Laifa/ Université de Houari Boumédienne/ Bendjaballah,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?.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Facteur/ plasma/ Green/ fluide/ amortissement/ la lumière ./ </w:t>
            </w:r>
          </w:p>
        </w:tc>
      </w:tr>
    </w:tbl>
    <w:p>
      <w:pPr>
        <w:pStyle w:val="Heading3"/>
      </w:pPr>
      <w:r>
        <w:t>Résumé :</w:t>
      </w:r>
    </w:p>
    <w:p>
      <w:r>
        <w:t>La diffusion de la lumière, conune méthode de diagnostic des plasmas, reste un instrument important dans l'êtude et la mesure des fluctuations de la densitê ~lectronique~ C'est cet aspect du problàme qui nous a amen~ à nous int~resser à la dêtermination du facteur de structure dynamique d'un plasma, qui n'est autre que la transformêe de FOURIER de la fonction d'auto-correlation de la densitê êlectroniquee Nous avons utilisé pour cela la mêthode des fonctions de GREEN (retard et avance) . Nous avons ainsi êtabli une forme avantageuse pour le facteur de structure dynamique puisque il est formu16 directement en fonction des coefficients de transport du plasma J'Hydr~tne Paramatres familiers pour le Physicien expérimentateur. Nous avons d~duit de ce facteur des modes propres plaSl1'a-dynamiques transverses dans le cas des mod~les un-fluide et deux-fluides, de m~me que nous avons donnê une nouvelle forme aux taux d'amortissement de ces modes.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