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méthodes de synthèse des filtres à reponse impulsionnelle finie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Sbaa; Salim/ Univérsite De Annaba/ Bedda, M./ </w:t>
            </w:r>
          </w:p>
        </w:tc>
      </w:tr>
      <w:tr>
        <w:trPr>
          <w:trHeight w:val="567"/>
        </w:trPr>
        <w:tc>
          <w:tcPr>
            <w:tcW w:type="dxa" w:w="3000"/>
          </w:tcPr>
          <w:p>
            <w:r>
              <w:t>Nombre de Pages</w:t>
            </w:r>
          </w:p>
        </w:tc>
        <w:tc>
          <w:tcPr>
            <w:tcW w:type="dxa" w:w="7000"/>
          </w:tcPr>
          <w:p>
            <w:r>
              <w:t>77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Bibliogr.p.p.71-72.</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1993</w:t>
            </w:r>
          </w:p>
        </w:tc>
      </w:tr>
      <w:tr>
        <w:trPr>
          <w:trHeight w:val="567"/>
        </w:trPr>
        <w:tc>
          <w:tcPr>
            <w:tcW w:type="dxa" w:w="3000"/>
          </w:tcPr>
          <w:p>
            <w:r>
              <w:t>Sujet(s)</w:t>
            </w:r>
          </w:p>
        </w:tc>
        <w:tc>
          <w:tcPr>
            <w:tcW w:type="dxa" w:w="7000"/>
          </w:tcPr>
          <w:p>
            <w:r>
              <w:t xml:space="preserve">algorithme/ méthode numérique/ ondulation/ impulsionnelle finie./ </w:t>
            </w:r>
          </w:p>
        </w:tc>
      </w:tr>
    </w:tbl>
    <w:p>
      <w:pPr>
        <w:pStyle w:val="Heading3"/>
      </w:pPr>
      <w:r>
        <w:t>Résumé :</w:t>
      </w:r>
    </w:p>
    <w:p>
      <w:r>
        <w:t>Pour un filtre passe bas le résultat final donne des ondulations non uniforme en bandes et nous constations les variations de la tolérance fixée par l'utilisateur ainsi qu'un déplacement de la bande de transition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