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gitologique du gisement de barytine mizab ain mimoun khenchla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Zedam; Rabah/ Université Badji Mokhtar/ Toubal, A/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silicification/ association/ sédimentologie/ olomitisation/ diagénèse/ barytine/ gisement filonien/ filons/ hydrothermales/ genèse/ guides structuraux guides lithologiques/ contexte paléogéographique/ dynamique des blocs basculés/ péridiapérisme/ diapris/ minéralogiques/ lithostratigraphie/ corps minéralisés/ </w:t>
            </w:r>
          </w:p>
        </w:tc>
      </w:tr>
    </w:tbl>
    <w:p>
      <w:pPr>
        <w:pStyle w:val="Heading3"/>
      </w:pPr>
      <w:r>
        <w:t>Résumé :</w:t>
      </w:r>
    </w:p>
    <w:p>
      <w:r>
        <w:t xml:space="preserve">Le gisement mizar est un champ filonien, situé sur le flanc nord de l'anticlinal de khenchela . il est encaissé dans des couches d'age albo-aptien , représentées essentiellement par des calcaires, dolomies, calcaires dolomitiques, grès et argilites.                                                                                                                                                                                  ce gisement de barytine est caractérisé par une minéralisation sécante par rapport à l'encaissant , avec des sulfures, des sulfosels et des oxydes; ce qui traduit la difficulté de son interprétation.                                                                                  </w:t>
        <w:br/>
        <w:br/>
        <w:t xml:space="preserve">du point de vue genèse, cette minéralisation présente deux spécificités principales: -un guide structural incontournable.                                                                                                                                         -un  guide lithogique exprimé par un environnement  sédimentaire carbonaté, favorable au développement  d'un phénomène de dolomitisation régional.              si le fluide minéralisateur semble être à priori d'origine hydrothermale, au contraire la source de la minéralisation et son moteur restent mal connus.                                                                                                                                                        l'approfondissement de cet humble travail, permettra certainement d'identifier le cadre régional tectonique et paléogéographique auquel appartient la mise en place de la minéralisation.                                                                           </w:t>
        <w:br/>
        <w:br/>
        <w:t xml:space="preserve"> néanmoins, l' influence de l'environnement péridiapirique, ainsi que le nouveau modèle tectono-sédimentaire proposé par d.bureau; demeurent envisageables.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