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Vulnérabilité et impact des agglomérations sur la qualité des eaux du massif dunaire de bouteldja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Sedrati; Nassima/ Kherici,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pollution/ eaux/ climat méditerrané/ massif dunaire/ bouteldja/ </w:t>
            </w:r>
          </w:p>
        </w:tc>
      </w:tr>
    </w:tbl>
    <w:p>
      <w:pPr>
        <w:pStyle w:val="Heading3"/>
      </w:pPr>
      <w:r>
        <w:t>Résumé :</w:t>
      </w:r>
    </w:p>
    <w:p>
      <w:r>
        <w:t xml:space="preserve">De nombreux amas sableux éoliens s'attendent sur le littoral méditerranéen magrébin. ils occupent les régions les plus arrosées et renferme d'importantes ressources en eau souterraines. vu leur situation privilégiée prés de la mer, ces amas sableux se trouvent de plus en plus envahis par une urbanisation en grande partie sans réseau d'assainissement adéquat. pour identifier ce problème, le massif dunaire de bouteldja est pris comme exemple. ils s'agit d'une nappe libre d'une puissance de 40 à 180 m , d'une perméabilité de l'ordre de 10 -4 ms-1et d'une transmissivité comprise entre  10-4 et 10-3 m2.s-1,il soumis à un climat méditerrané avec une moyenne annuelle de précipitation dépasse les 600 mm .  </w:t>
        <w:br/>
        <w:br/>
        <w:t xml:space="preserve">    la méthode  utilisée pour entreprendre cette étude repose sur plusieurs critères à savoir : l'épaisseur de la zone non saturée, densité de population, le taux de raccordement au réseau d'assainissement et des analyses physico-chimiques des eaux souterraines .la carte de vulnérabilité (sensibilité) repartie sur les 150 km2 à permis de distinguer trois zones de degré de vulnérabilité différente , les zones à faible et à moyenne vulnérabilité occupent respectivement 19.6 % et 11.77 % de la surface totale du massif dunaire , ces zones sont à risque de contamination superficielle. alors que celle de forte vulnérabilité occupant 68 % de la surface totale et à fort risque de pollution confinant l'impact des agglomérations rurales.</w:t>
        <w:br/>
        <w:br/>
        <w:t>ces résultats confirmés par des apports des charges  organiques contribuent à un excès en nitrates et dbo5 ,pour cela ces endroits sensible à la pollution doit faire l'objet d'une réglementation de protection.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