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geostatique des parametres geotechniques des differents sols du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Khalfaoui; Souheila/ Université Badji Mokhtar/ Mezhache, H/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geostatique/ geotechnique/ les mailles/ support informatique / </w:t>
            </w:r>
          </w:p>
        </w:tc>
      </w:tr>
    </w:tbl>
    <w:p>
      <w:pPr>
        <w:pStyle w:val="Heading3"/>
      </w:pPr>
      <w:r>
        <w:t>Résumé :</w:t>
      </w:r>
    </w:p>
    <w:p>
      <w:r>
        <w:t>Le nord est algérien est constitué de cinq principales formations géologiques de compositions pétro-minéralogiques différentes: il s'agit des formations cristallines du socle et d'un certain nombre de massifs magmatiques; des formations évaporitiques du trias, des formations carbonatées d'âge jurassique-eocène, des formations argilo-gréseuses de l'oligocène (série numidienne) et enfin des formations conglomératiques, sables et argiles du mio-pliocène. chacune de ces formations, en s'altérant donne un type de sol avec des propriétés chimiques, et physico-mécaniques bien spécifiques. sur ces différents sols, sont construits des ouvrages de génie civil de petites ou grandes surfaces tels que les aérodromes, les zones d'habitation et les tracés des routes dont le dimensionnement en dépend. il est donc nécessaire de connaître et prévoir le comportement de chacun d'eux. pour cela, les données de 65 sites totalisant 888 essais sur vingt deux paramètres géotechniques et chimiques ont été récoltées au niveau des différents laboratoires des travaux publiques de l'est algérien (annaba, batna, constantine, oum el bouighi, tébessa et guelma). ces données ont été compilées et saisie sur support informatique. des méthodes d'identifications et classifications - méthodes de gasagrande et celle de la compressibilité - d'analyse des données (analyse en composantes principales normées) ont été effectuées sur ces données. le nombre de site par formation varie de cinq (05) - au niveau du miocène -  à dix huit (18) au niveau des formations carbonatées du  jurassique-eocène.  sur chacune de ces formations, un site de grande surface a été choisi pour caractériser la variabilité spatiale des paramètres géotechniques et prévoir les mailles d'investigation de chacun d'eux.</w:t>
        <w:br/>
        <w:br/>
        <w:t>la variable choisie pour l'étude géostatistique est le tassement s car ce dernier permet de ramener le problème à deux dimensions (2d) en calculant les valeurs moyennes dans les sondages et d'en étudier la variabilité latérale. de plus s a été calculé à l'aide de deux paramètres géotechniques qui sont la limite de liquidité wl et la densité sèche du sol -  h. il est donc plus simple d'étudier la variabilité spatiale s que celles de ces deux derniers. les variogrammes expérimentaux de surfaces et directionnels ont été calculés  et ajustés. ces derniers ont été utilisés pour le krigeage ordinaire de s. des cartes des isovaleurs krigées et d'isovariances de krigeage ont été établies. l'erreur relative a été calculé pour chaque krigeage et pour un niveau de confiance de 95% a été calculé. un tableau de synthèse de l'ensemble des résultats obtenus sur chacun des sols de ces formations a été établi. ce tableau  peut être utilisé comme référence pour  les investigations futures.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