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Interpretation geostatistique des donnees semiquantitaives d'une campagnede prospection geochimique des polymetaux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Ferkous; Haroune/ Mezghache, Hamide/ Université Badji Mokhtar/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polymétallique/ la structure géologique/ minérale/ carbonaté / les monts de batna/ </w:t>
            </w:r>
          </w:p>
        </w:tc>
      </w:tr>
    </w:tbl>
    <w:p>
      <w:pPr>
        <w:pStyle w:val="Heading3"/>
      </w:pPr>
      <w:r>
        <w:t>Résumé :</w:t>
      </w:r>
    </w:p>
    <w:p>
      <w:r>
        <w:t xml:space="preserve">Les monts de batna-aurès font partie de la structure géologique de l'atlas saharien oriental. cette structure est    caractérisée par des formations allant depuis le trias jusqu'au quaternaire cette région recèle de très importantes concentrations polymétalliques à pb-zn, cu (ba-sr). ces derniers sont encaissés dans les sédiments carbonatés du jurassique et crétacé et contrôlées principalem ; ent par un métallotecte tectonique (fractures). l'examen géologique et gîtologique de ces concentrations minérales montre globalement la même paragenèse (sphalérite, galène, barytine, pyrite, smithsonite, calamine, cuivre gris, malachite et azurite). la région d'étude est constituée de 4 secteurs : tarbennt, toumbait, djendli et ain bougda. ces secteurs ont fait l'objet de campagnes de prospection par l'orgm suivant une maille de 100mx20m. au total 4615 échantillons géochimiques de roche en place, ont été prélevés est analysé sur les éléments : pb, zn, cu, ag, ba, mn, sn,…. le travail de recherche effectué consistait en compilation, les traitements et l'interprétation statistique et géostatistique des données semi-quantitatives d'une campagne géochimique à l'aide de différents moyens et logiciels de calcul. ces méthodes ont permis de montrer que: 1.- la maille de prospection géochimique adoptée par l'orgm est suffisamment fine pour détecter toutes anomalies existantes. cependant les profils de prospection de cu et pb doivent être réorienté. 2.- la détermination de deux systèmes de failles minéralisées de direction ne-sw et nwse, dû peut être de la présence d'une minéralisation biphasée. 3.- la compilation des résultats des traitements mono et multivariés des données géochimiques a permis la détermination et la cartographie des zones anomales prioritaires a une prospection future détallée 4. - l'existence une correspondance (lien) entre les distributions de l'élément cu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