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Mécanismes de la pollution et vulnérabilité des eaux de la sybouse origines géologiques industrielles agricoles et urbaines.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Djabri; Larbi/ Djeddi,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bibliogr.p.p.263-277.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agricole/ eaux/ la pollution/ sybouse/ industrielle/ urbaine/ les roches sédimentaire ./ </w:t>
            </w:r>
          </w:p>
        </w:tc>
      </w:tr>
    </w:tbl>
    <w:p>
      <w:pPr>
        <w:pStyle w:val="Heading3"/>
      </w:pPr>
      <w:r>
        <w:t>Résumé :</w:t>
      </w:r>
    </w:p>
    <w:p>
      <w:r>
        <w:t>Face à l'accroisssement général des besoins en eau ,lié à l'accroissement des populations urbaines dans la région étudiée , au dévloppement et à l'implantation d'industries ; grosses utilisatrices d'eau , à l'extension de la politique d'irrigation , il n'existe pas à l'heure actuelle de l'entreprendre cette étude , nous avons dégagé sur le bassin de la seybouse : trois types de formations géologiques affleurent : les roches sédimentaire  constituées de sables, argiles , métamorphiques gneiss, schistes , cipolins ..., se rencontrent dans la partie nord du terrain dans le secteur annaba-séraidi .on note également une trés grands deversité lithologique qui obligatoirement , entraine disponible , nous ont permis de déterminer les horizons aquifères ainsi que les épaisseurs des réservoirs aquifères .les carte isopaches dressées montrent que les épaisseurs des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