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et gestio integrie des eaux du bassin de gareat el taref w khenchela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Dali; Naouel/ Zouini, Derradji/ 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eaux/ souterraine/ bassin/ gareat el taref/ khenchela/ ressources/ </w:t>
            </w:r>
          </w:p>
        </w:tc>
      </w:tr>
    </w:tbl>
    <w:p>
      <w:pPr>
        <w:pStyle w:val="Heading3"/>
      </w:pPr>
      <w:r>
        <w:t>Résumé :</w:t>
      </w:r>
    </w:p>
    <w:p>
      <w:r>
        <w:t>Le bassin versant de gareat el tarf fait parti de l'ensemble des bassins versants des hauts plateaux constantinois, c'est un bassin à caractère endoréique et climat semi-aride ces deux particularités agissent négativement sur les ressources en eaux souterraines et superficielles tant   quantitativement que qualitativement. les ressources en eau superficielles sont rares toute la région s'alimente pour les différents usages (aep et irr) des eaux souterraines la stratégie de la gestion des ressources en eau mise en place n'est pas efficace pour couvrir les besoins en eau actuels ou futurs. le scénario le plus adéquat pour assurer l'équilibre entre la demande en eau et la ressource disponible a long terme est celui où la gestion de l'offre soutenu par le transfère de béni haroun à  partir de 2010 et la station d'épuration de khenchela en 2015, combiné a la gestion de la demande avec la diminution des perte au réseau d'aep à 15% et l'augmentation de l'efficience de l'irrigation à 70%.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