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formations argleuses sous numidienne de la region ain charchar ramdane djamel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Chouaf; Ibtissem/ Université Badji Mokhtar/ Mezghache, A/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minéralogie/ numidienne/ grains hétérogènes/ roches mères/ argiles/ </w:t>
            </w:r>
          </w:p>
        </w:tc>
      </w:tr>
    </w:tbl>
    <w:p>
      <w:pPr>
        <w:pStyle w:val="Heading3"/>
      </w:pPr>
      <w:r>
        <w:t>Résumé :</w:t>
      </w:r>
    </w:p>
    <w:p>
      <w:r>
        <w:t>La zone d'étude se situe dans un contexte géologique peu compliqué. elle se localisedans la nappe numidienne. cette nappe est caractérisée ; par la superposition de deux sous unités : unité sous-numidienne renferme des argiles versicolores de teintes vertes ou rougeviolacé. unité numidienne renferme des grès quartziques avec ciment siliceux sous forme de bancs métriques de grains hétérogènes, ces grès sont en alternance d'argiles verdâtres et rougeâtres. les profils d'altération (profil pédologique) développés sur des roches mères variables carbonatée et gréseuse, permettent de proposer un modèle pédologique dans les zones à climat méditerranéen. le manteau d'altération comprend une succession verticale d'un ensemble altéritique, ensemble meuble argilo-gréseux à la surface avec apparition d'un manteau d'altération avec des niveaux oxydés. l'analyse minéralogique par drx des différentes fractions granulométriques permet d'établir la composition minéralogique suivante : (quartz, calcite, kaolinite, illite, smectite, sidérite, hématite, pyrrhotite). la combinaison des données minéralogiques et géochimiques montre que ces argiles proviennent essentiellement de l'hydrolyse des minéraux silicatés essentiellement des grès dans la première partie et de la destruction des calcaires dans la deuxième partie.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