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Boussis; Ali/ Hanni, Azzedine/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guelma/ facteur socioéconomique/ qualité d’eau/ gire/ </w:t>
            </w:r>
          </w:p>
        </w:tc>
      </w:tr>
    </w:tbl>
    <w:p>
      <w:pPr>
        <w:pStyle w:val="Heading3"/>
      </w:pPr>
      <w:r>
        <w:t>Résumé :</w:t>
      </w:r>
    </w:p>
    <w:p>
      <w:r>
        <w:t>Ce travail de recherche a pour objectif de l'indentification des facteurs déterminants dans la gestion des ressources en eau dans une région a haute densité de population et qui confronté a des problèmes majors d'environnement. l'approche utilisée est fondée sur un modèle intégré qui prend en compte le facteur socioéconomique, sources de pollution, qualité de l'eau, d'impact écologique et les démarches institutionnelles. les facteurs déterminants sont identifiés en utilisant les réseaux de neurone artificiels (ann) ou (rna) et une approche statistique. cette analyse montre que la gestion de ressources en eau est influencée par la population, les eaux usées domestiques, les chlorures, et l'importation de l'eau. la confrontation des résultats des différentes méthodes a débouché sur des recommandations pour l'élaboration d'un modèle prévisionnel pour la gestion des ressources en eau dans la wilaya de guelma et pour l'étude des différents scénarios d'évolution de cette région.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