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Evolution des èlèments chimiques et è valuation de risque des eaux souterraines à la pollution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Boulabeiz; Mahrez/ Bousnoubra, 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eaux souterraines/ vulnérabilité/ ne algérien/ carte de risque/ </w:t>
            </w:r>
          </w:p>
        </w:tc>
      </w:tr>
    </w:tbl>
    <w:p>
      <w:pPr>
        <w:pStyle w:val="Heading3"/>
      </w:pPr>
      <w:r>
        <w:t>Résumé :</w:t>
      </w:r>
    </w:p>
    <w:p>
      <w:r>
        <w:t>Le couplage entre les outils géologique, géophysique, hydrodynamique et chimique dans l'étude de la nappe côtière de collo, (ne algérien), nous a permis de déterminer les origines et l'évolution des éléments chimiques et les polluants dans le temps et dans l'espace. l'étude des eaux souterraines a fait apparaître l'existence de trois types de pollution : naturelle, par l'effet de la dissolution des formations évaporitiques, carbonatées et l'effet de  l'intrusion marine,  donnant une forte concentration en cl-, na+, ca++, et hco3- ; agricole par l'utilisation intensive des engrais chimiques ; industrielle, sous l'effet des rejets des eaux usées et les stations d'hydrocarbures, le plomb a été détecté avec des concentrations qui dépassent les normes de potabilité.  a fin de protéger la nappe contre la pollution, une carte de risque a été dressée, en se basant sur la vulnérabilité, les caractéristiques hydrodynamiques, la position des sites industrielles et les cas de pollution observés lors de l'étude.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