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Pétrologie du magmatisme néogène du N-W de Annaba N. E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Arafa-daif; Menana/ Univérsite De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Bibliogr.p.p.226-242.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Pétrologie/ magmatisme/ néogène ./ </w:t>
            </w:r>
          </w:p>
        </w:tc>
      </w:tr>
    </w:tbl>
    <w:p>
      <w:pPr>
        <w:pStyle w:val="Heading3"/>
      </w:pPr>
      <w:r>
        <w:t>Résumé :</w:t>
      </w:r>
    </w:p>
    <w:p>
      <w:r>
        <w:t>La mise en place de la série étudiée est post-collisionnelle mais sa genèse est à rechercher dans la évolution antérieure de la région .dans la quassi-totalité des modèles explicatifs de la region , la subduction est indirectement mise en cause meme manière trés lointaine .elle est toujours sous-enttendue avec une proximité temporelle plus ou moins grands , méme si elle n'est pas toujour précisée en tant que telle : exemple (fig.22.5).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