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Prise en compte des contraintes de temps dans les réseaux locaux industriels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Kimour; Mohamed tahar/ Mammeri, Zoubir/ </w:t>
            </w:r>
          </w:p>
        </w:tc>
      </w:tr>
      <w:tr>
        <w:trPr>
          <w:trHeight w:val="567"/>
        </w:trPr>
        <w:tc>
          <w:tcPr>
            <w:tcW w:type="dxa" w:w="3000"/>
          </w:tcPr>
          <w:p>
            <w:r>
              <w:t>Nombre de Pages</w:t>
            </w:r>
          </w:p>
        </w:tc>
        <w:tc>
          <w:tcPr>
            <w:tcW w:type="dxa" w:w="7000"/>
          </w:tcPr>
          <w:p>
            <w:r>
              <w:t>115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bibligor.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1994</w:t>
            </w:r>
          </w:p>
        </w:tc>
      </w:tr>
      <w:tr>
        <w:trPr>
          <w:trHeight w:val="567"/>
        </w:trPr>
        <w:tc>
          <w:tcPr>
            <w:tcW w:type="dxa" w:w="3000"/>
          </w:tcPr>
          <w:p>
            <w:r>
              <w:t>Sujet(s)</w:t>
            </w:r>
          </w:p>
        </w:tc>
        <w:tc>
          <w:tcPr>
            <w:tcW w:type="dxa" w:w="7000"/>
          </w:tcPr>
          <w:p>
            <w:r>
              <w:t xml:space="preserve">réseaux/ ocaux industriels/ </w:t>
            </w:r>
          </w:p>
        </w:tc>
      </w:tr>
    </w:tbl>
    <w:p>
      <w:pPr>
        <w:pStyle w:val="Heading3"/>
      </w:pPr>
      <w:r>
        <w:t>Résumé :</w:t>
      </w:r>
    </w:p>
    <w:p>
      <w:r>
        <w:t>Cette étude se presente en six chapitres:  Le chapitre I est consacre à l'étude des SAPS. Il  presente, a travers le concept CIM, la structure hiérarchisée  et met en exergue l'importance de la communication.  Le chapitre II étudie les outils de communication  disponibles actuellement à savoir les trois grandes classes de  reseaux: le reseau   r?sean initie par   MUTGRS (USA), le standard Français des bus de terrain FIP et  enfin Le standard.Allemand. EIBUS`  Le chapitreprésente l'analyse de la communication  dans les SAPs à travers les différents niveaux, suivant des  axes de modélisation (horizontal, vertical et mixte). Parmi ces  flux, il existe une communication de nature temps critique.  Le chapitre IV est consacréla définition des exigences  d'un système de communication temps critique.  Le chapitre çmésente l'analyse des techniques d'acces  aux réseaux normalisés, aboutissant à un nicanisme de  configuration de celles-ci.  Enfin, le chapitre VI contient la  description d'une  procédure de sélection pour servir en priorité les messages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