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Enrichissement du modèle orienté objet par l'aspect concurrentiel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Seridi; Ali/ Touati, Mohamed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propositions/ l'aspect concurrentiel/ </w:t>
            </w:r>
          </w:p>
        </w:tc>
      </w:tr>
    </w:tbl>
    <w:p>
      <w:pPr>
        <w:pStyle w:val="Heading3"/>
      </w:pPr>
      <w:r>
        <w:t>Résumé :</w:t>
      </w:r>
    </w:p>
    <w:p>
      <w:r>
        <w:t>Le domaine d'application de cette  méthode de programmation et permettre de tirer parti de ses beiietices dans la  construction des systèmes concurrents Ceci necessite la conception de langages de  programmation à objets concurrents qui integrcnt les concepts de la programmation par  objets à ceux de la programmation concurrente.  Vu l`importancc du domaine, une multitude de propositions sont apparuee  chacune essaye à sa maniere, de combiner les avantages des deux domaines de façon  fiable et efficace. Mais il est raisonnable de constater comme le souligne B.Meyer [BER  93] quaucune n'a fourni un mécanisme entierement satisfaisant et cela est dû à la  complexité de la plupart des solutions proposcesqui tendent a ajouter la puissance  entière de la concurrence a un langage oriente objets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