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générateur de moteurs d'inférence pour le développement de système experts basé sur la logique des prédicats du premier ordre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Mokhtar/ Sahnoun, Z/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Logique et dérnonstration automatique de théoremes/ banc d'essai,  unification/ résolution, métalangage/ méta-Interpréteur, spécification de  jointure/ stratégies de recherche/ moteur d'inférence/ systemes-experts./ </w:t>
            </w:r>
          </w:p>
        </w:tc>
      </w:tr>
    </w:tbl>
    <w:p>
      <w:pPr>
        <w:pStyle w:val="Heading3"/>
      </w:pPr>
      <w:r>
        <w:t>Résumé :</w:t>
      </w:r>
    </w:p>
    <w:p>
      <w:r>
        <w:t>A travers une étude comparative des principaies versions iiiuusuienes de  Prolog, nous faisons ressortir les principaux problemes d'imp1émentation, les  limitations intrinseques imposées au langage et proposons des outils pour  sumionter ces restrictions. Cet enrichissement se réalise par la construction de  méta-interpréteurs dédiés à des fonctionnalités précises. Une jointure entre  ces méta-interpréteurs est utilisée pour donner un méta-interpréteur cible qui  permet une analyse préventive des causes susceptibles de provoquer un  échec lors de la résolution du problême. La conjonction des résultats de la  simulation et des métaconnaissances de contr?le données par le concepteur de  la base d`expertise, permettent de générer un environnement de  systeme-expert avec une stratégie et des outils qui répondent le mieux aux  spéciications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