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Designing a parallel graph reduction machine with dynamic granularity control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Rabhi; Fethi abderrahmane/ Université sheffield/ Manson, G.a./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bibliogr.f.f.93.105.-Résumé en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P.H.D.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Sheffield (angleterre)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reduction machine/ granularity control/ </w:t>
            </w:r>
          </w:p>
        </w:tc>
      </w:tr>
    </w:tbl>
    <w:p>
      <w:pPr>
        <w:pStyle w:val="Heading3"/>
      </w:pPr>
      <w:r>
        <w:t>Résumé :</w:t>
      </w:r>
    </w:p>
    <w:p>
      <w:r>
        <w:t>A new partitioning technique is proposed, in which several function calls are  coalesced into a single task, increasing the granularity of the computation. Ideal-  ly, a task is only created if its execution time exceeds the scheduling overhead,  and if there will be a processor free to execute it. Unlike other approaches, the  decision can be postponed till run-time, thus taking the advantage of testing the  value of some important parameters, whose in?uence has been determined  using static analysis techniques.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