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L'identification de l'emotion des apprenants dans les plates-formes de E-learning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Nedji Milat; Iness/ Sellami, M/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français,anglais et arabe </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apprenant/ SVM/ Reconnaissance émotionnelle/ indices procidique/ indices textuel/ parole/ e_lerning/ agent./ </w:t>
            </w:r>
          </w:p>
        </w:tc>
      </w:tr>
    </w:tbl>
    <w:p>
      <w:pPr>
        <w:pStyle w:val="Heading3"/>
      </w:pPr>
      <w:r>
        <w:t>Résumé :</w:t>
      </w:r>
    </w:p>
    <w:p>
      <w:r>
        <w:t>’Internet à révolutionné le domaine de l’enseignement avec l’avènement d’unnouveau mode d’apprentissage basé sur les TIC : l’e-learning ou la formation àdistance. Cependant, plusieurs études, portant sur les coûts et retours surinvestissement du e-learning, ont montré que ce mode de télé-enseignement agénéré des problèmes de difficulté d'apprentissage dû en partie et à des degrésdivers à la négligence de la prise en compte des états émotionnels des apprenants.En effet, la pertinence de l’apprentissage implique le suivi des apprenants etparticulièrement la gestion des aspects intellectuels et socio-émotionnels [P97], [SC],[BB02], [F04], [G04], [NH04]. Dans le contexte éducatif classique, l'observation etidentification de l'état émotionnel de l'apprenant permettent à l'enseignantd'entreprendre des actions qui vont influencer la qualité de l'apprentissage et sonexécution, chose qui n'est pas totalement prise en charge dans le contexte el'enseignement à distance.Pour favoriser l’apprentissage, les dispositifs de e-learning doivent tenir compte desétats émotionnels de l’apprenant. Cette prise en compte pose un problème de miseen oeuvre, car les processus mentaux et les expressions émotionnelles de l’apprenantne sont pas directement observables par la machine et les méthodes d’identificationémotionnelle les plus objectives et les moins intrusives, recourent à des capteursexternes (webcams, microphones…etc.) en vue d’examiner le maintien de laposture, le regard et les expressions faciales de l’apprenant dans l’expression nonverbale [P97, F04,9,NH04] et l’analyse des prosodies, le ton de la voix et les fréquencesdans l’expression verbale [P97,15,17,18,21].C’est dans le contexte verbal, que nous situons notre travail pour tenter d’apporterdes réponses à l’identification émotionnelle des apprenants dans une sessiod’apprentissage. Pour cela, nous menons une réflexion sur les techniques, les moyens,es méthodes et les outils capable d’assurer cette identification à travers une analyseà deux niveaux linguistiques, prosodiques et textuels, de la parole d’un locuteurapprenant dans le cadre d’un dialogue homme-machine dans une plateforme de elearning.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