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d'information et de gestion dans une entreprise du bâtiment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Khima, Rabah/ Université de paris 6/ Koch/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d'information/ bâtiment en algérie/ </w:t>
            </w:r>
          </w:p>
        </w:tc>
      </w:tr>
    </w:tbl>
    <w:p>
      <w:pPr>
        <w:pStyle w:val="Heading3"/>
      </w:pPr>
      <w:r>
        <w:t>Résumé :</w:t>
      </w:r>
    </w:p>
    <w:p>
      <w:r>
        <w:t>Les responsables de l'EGB, pour aboutir à une prise  decision aussi proohe que possible d'une décision opti  male, souhaitent poser de toutes les informations né  oessaires. C'est pourquoi, ils se posent souvent la ques-  tion de savoir s'il est possible d'avoir une matrise de  l'information permettant d'éliminer tout ce qui peut cons  tituer, non pas un obstaole, mais plut?t une source der  reur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